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="00A111CE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111C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Утвержден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</w:t>
      </w:r>
      <w:r w:rsidRPr="004F6DB4">
        <w:rPr>
          <w:rFonts w:ascii="Times New Roman" w:hAnsi="Times New Roman" w:cs="Times New Roman"/>
          <w:sz w:val="32"/>
          <w:szCs w:val="32"/>
        </w:rPr>
        <w:t xml:space="preserve">постановлением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акимата</w:t>
      </w:r>
      <w:proofErr w:type="spellEnd"/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</w:t>
      </w:r>
      <w:r w:rsidRPr="004F6DB4">
        <w:rPr>
          <w:rFonts w:ascii="Times New Roman" w:hAnsi="Times New Roman" w:cs="Times New Roman"/>
          <w:sz w:val="32"/>
          <w:szCs w:val="32"/>
        </w:rPr>
        <w:t>Павлодарской области</w:t>
      </w:r>
    </w:p>
    <w:p w:rsidR="00EE368C" w:rsidRPr="004F6DB4" w:rsidRDefault="004F6DB4" w:rsidP="004F6DB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r w:rsidRPr="004F6DB4">
        <w:rPr>
          <w:rFonts w:ascii="Times New Roman" w:hAnsi="Times New Roman" w:cs="Times New Roman"/>
          <w:sz w:val="32"/>
          <w:szCs w:val="32"/>
        </w:rPr>
        <w:t>от 26 июня 2014 года № 225/6</w:t>
      </w:r>
    </w:p>
    <w:p w:rsidR="004F6DB4" w:rsidRPr="004F6DB4" w:rsidRDefault="004F6DB4" w:rsidP="004F6DB4">
      <w:pPr>
        <w:rPr>
          <w:rFonts w:ascii="Times New Roman" w:hAnsi="Times New Roman" w:cs="Times New Roman"/>
          <w:sz w:val="32"/>
          <w:szCs w:val="32"/>
        </w:rPr>
      </w:pPr>
    </w:p>
    <w:p w:rsidR="00A111CE" w:rsidRDefault="004F6DB4" w:rsidP="004F6DB4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6DB4">
        <w:rPr>
          <w:rFonts w:ascii="Times New Roman" w:hAnsi="Times New Roman" w:cs="Times New Roman"/>
          <w:b/>
          <w:bCs/>
          <w:sz w:val="32"/>
          <w:szCs w:val="32"/>
        </w:rPr>
        <w:t xml:space="preserve">Регламент государственной услуги </w:t>
      </w:r>
    </w:p>
    <w:p w:rsidR="004F6DB4" w:rsidRPr="004F6DB4" w:rsidRDefault="004F6DB4" w:rsidP="00A111CE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6DB4">
        <w:rPr>
          <w:rFonts w:ascii="Times New Roman" w:hAnsi="Times New Roman" w:cs="Times New Roman"/>
          <w:b/>
          <w:bCs/>
          <w:sz w:val="32"/>
          <w:szCs w:val="32"/>
        </w:rPr>
        <w:t>"Прием документовв организации технического и профессионального,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4F6DB4">
        <w:rPr>
          <w:rFonts w:ascii="Times New Roman" w:hAnsi="Times New Roman" w:cs="Times New Roman"/>
          <w:b/>
          <w:bCs/>
          <w:sz w:val="32"/>
          <w:szCs w:val="32"/>
        </w:rPr>
        <w:t>послесреднего</w:t>
      </w:r>
      <w:proofErr w:type="spellEnd"/>
      <w:r w:rsidRPr="004F6DB4">
        <w:rPr>
          <w:rFonts w:ascii="Times New Roman" w:hAnsi="Times New Roman" w:cs="Times New Roman"/>
          <w:b/>
          <w:bCs/>
          <w:sz w:val="32"/>
          <w:szCs w:val="32"/>
        </w:rPr>
        <w:t xml:space="preserve"> образования"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F6DB4">
        <w:rPr>
          <w:rFonts w:ascii="Times New Roman" w:hAnsi="Times New Roman" w:cs="Times New Roman"/>
          <w:b/>
          <w:bCs/>
          <w:sz w:val="32"/>
          <w:szCs w:val="32"/>
        </w:rPr>
        <w:t>1. Общие положения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1. Государственная услуга "Прием документов в организации технического и</w:t>
      </w:r>
      <w:r w:rsidR="00A111CE"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профессионального,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послесреднего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образования" (далее - государственная услуга) оказывается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организациями технического и профессионального,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послесреднего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образования Павлодарской области</w:t>
      </w:r>
      <w:r w:rsidR="00A111CE"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(далее -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услугодатель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>)</w:t>
      </w:r>
      <w:proofErr w:type="gramStart"/>
      <w:r w:rsidRPr="004F6DB4">
        <w:rPr>
          <w:rFonts w:ascii="Times New Roman" w:hAnsi="Times New Roman" w:cs="Times New Roman"/>
          <w:sz w:val="32"/>
          <w:szCs w:val="32"/>
        </w:rPr>
        <w:t>.П</w:t>
      </w:r>
      <w:proofErr w:type="gramEnd"/>
      <w:r w:rsidRPr="004F6DB4">
        <w:rPr>
          <w:rFonts w:ascii="Times New Roman" w:hAnsi="Times New Roman" w:cs="Times New Roman"/>
          <w:sz w:val="32"/>
          <w:szCs w:val="32"/>
        </w:rPr>
        <w:t>рием заявлений и выдача результатов оказания государственной услуги осуществляются на</w:t>
      </w:r>
      <w:r w:rsidR="00A111CE"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базе учебного заведения технического и профессионального,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послесреднего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образования.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2. Форма оказания государственной услуги: бумажная.</w:t>
      </w:r>
    </w:p>
    <w:p w:rsidR="004F6DB4" w:rsidRPr="00952923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 xml:space="preserve">3. </w:t>
      </w:r>
      <w:r w:rsidRPr="00952923">
        <w:rPr>
          <w:rFonts w:ascii="Times New Roman" w:hAnsi="Times New Roman" w:cs="Times New Roman"/>
          <w:sz w:val="32"/>
          <w:szCs w:val="32"/>
        </w:rPr>
        <w:t xml:space="preserve">Результат оказания государственной услуги - расписка о приеме документов в учебное заведение технического и профессионального, </w:t>
      </w:r>
      <w:proofErr w:type="spellStart"/>
      <w:r w:rsidRPr="00952923">
        <w:rPr>
          <w:rFonts w:ascii="Times New Roman" w:hAnsi="Times New Roman" w:cs="Times New Roman"/>
          <w:sz w:val="32"/>
          <w:szCs w:val="32"/>
        </w:rPr>
        <w:t>послесреднего</w:t>
      </w:r>
      <w:proofErr w:type="spellEnd"/>
      <w:r w:rsidRPr="00952923">
        <w:rPr>
          <w:rFonts w:ascii="Times New Roman" w:hAnsi="Times New Roman" w:cs="Times New Roman"/>
          <w:sz w:val="32"/>
          <w:szCs w:val="32"/>
        </w:rPr>
        <w:t xml:space="preserve"> образования по форме согласно</w:t>
      </w:r>
      <w:r w:rsidR="00B75C6F" w:rsidRPr="00952923">
        <w:rPr>
          <w:rFonts w:ascii="Times New Roman" w:hAnsi="Times New Roman" w:cs="Times New Roman"/>
          <w:sz w:val="32"/>
          <w:szCs w:val="32"/>
        </w:rPr>
        <w:t xml:space="preserve"> </w:t>
      </w:r>
      <w:r w:rsidRPr="00952923">
        <w:rPr>
          <w:rFonts w:ascii="Times New Roman" w:hAnsi="Times New Roman" w:cs="Times New Roman"/>
          <w:sz w:val="32"/>
          <w:szCs w:val="32"/>
        </w:rPr>
        <w:t xml:space="preserve">приложению к стандарту государственной услуги "Прием документов в организации технического и профессионального, </w:t>
      </w:r>
      <w:proofErr w:type="spellStart"/>
      <w:r w:rsidRPr="00952923">
        <w:rPr>
          <w:rFonts w:ascii="Times New Roman" w:hAnsi="Times New Roman" w:cs="Times New Roman"/>
          <w:sz w:val="32"/>
          <w:szCs w:val="32"/>
        </w:rPr>
        <w:t>послесреднего</w:t>
      </w:r>
      <w:proofErr w:type="spellEnd"/>
      <w:r w:rsidRPr="00952923">
        <w:rPr>
          <w:rFonts w:ascii="Times New Roman" w:hAnsi="Times New Roman" w:cs="Times New Roman"/>
          <w:sz w:val="32"/>
          <w:szCs w:val="32"/>
        </w:rPr>
        <w:t xml:space="preserve"> образования", утвержденного постановлением Правительства Республики Казахстан от 31 мая 2014 года № 599 (далее - стандарт).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52923">
        <w:rPr>
          <w:rFonts w:ascii="Times New Roman" w:hAnsi="Times New Roman" w:cs="Times New Roman"/>
          <w:b/>
          <w:bCs/>
          <w:sz w:val="32"/>
          <w:szCs w:val="32"/>
        </w:rPr>
        <w:t>2. Описание порядка</w:t>
      </w:r>
      <w:r w:rsidRPr="004F6DB4">
        <w:rPr>
          <w:rFonts w:ascii="Times New Roman" w:hAnsi="Times New Roman" w:cs="Times New Roman"/>
          <w:b/>
          <w:bCs/>
          <w:sz w:val="32"/>
          <w:szCs w:val="32"/>
        </w:rPr>
        <w:t xml:space="preserve"> действий структурных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b/>
          <w:bCs/>
          <w:sz w:val="32"/>
          <w:szCs w:val="32"/>
        </w:rPr>
        <w:t xml:space="preserve">подразделений (работников) </w:t>
      </w:r>
      <w:proofErr w:type="spellStart"/>
      <w:r w:rsidRPr="004F6DB4">
        <w:rPr>
          <w:rFonts w:ascii="Times New Roman" w:hAnsi="Times New Roman" w:cs="Times New Roman"/>
          <w:b/>
          <w:bCs/>
          <w:sz w:val="32"/>
          <w:szCs w:val="32"/>
        </w:rPr>
        <w:t>услугодателя</w:t>
      </w:r>
      <w:proofErr w:type="spellEnd"/>
      <w:r w:rsidRPr="004F6DB4">
        <w:rPr>
          <w:rFonts w:ascii="Times New Roman" w:hAnsi="Times New Roman" w:cs="Times New Roman"/>
          <w:b/>
          <w:bCs/>
          <w:sz w:val="32"/>
          <w:szCs w:val="32"/>
        </w:rPr>
        <w:t xml:space="preserve"> в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b/>
          <w:bCs/>
          <w:sz w:val="32"/>
          <w:szCs w:val="32"/>
        </w:rPr>
        <w:t>процессе оказания государственной услуги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1. Основанием для начала процедуры (действия) по оказанию государственной услуги является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заявление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услугополучателя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с приложением необходимых документов, указанных в пункте 9 стандарта.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2. Содержание каждой процедуры (действия), входящей в состав процесса оказания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государственной услуги, длительность его выполнения: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технический секретарь приемной комиссии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услугодателя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осуществляет прием и регистрацию</w:t>
      </w:r>
      <w:r w:rsidR="00A111CE"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полученных от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услугополучателя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документов и выдает результат государственной услуги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услугополучателю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- не более 15 минут.</w:t>
      </w: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sz w:val="32"/>
          <w:szCs w:val="32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sz w:val="32"/>
          <w:szCs w:val="32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sz w:val="32"/>
          <w:szCs w:val="32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sz w:val="32"/>
          <w:szCs w:val="32"/>
        </w:rPr>
      </w:pP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3. Результатом процедуры (действия) по оказанию государственной услуги является расписка 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приеме документов в учебное заведение технического и профессионального,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послесреднего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образования по форме согласно приложению к стандарту.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 w:rsidRPr="004F6DB4">
        <w:rPr>
          <w:rFonts w:ascii="Times New Roman" w:hAnsi="Times New Roman" w:cs="Times New Roman"/>
          <w:b/>
          <w:bCs/>
          <w:sz w:val="32"/>
          <w:szCs w:val="32"/>
        </w:rPr>
        <w:t>3. Описание порядка взаимодействия структурных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b/>
          <w:bCs/>
          <w:sz w:val="32"/>
          <w:szCs w:val="32"/>
        </w:rPr>
        <w:t xml:space="preserve">подразделений (работников) </w:t>
      </w:r>
      <w:proofErr w:type="spellStart"/>
      <w:r w:rsidRPr="004F6DB4">
        <w:rPr>
          <w:rFonts w:ascii="Times New Roman" w:hAnsi="Times New Roman" w:cs="Times New Roman"/>
          <w:b/>
          <w:bCs/>
          <w:sz w:val="32"/>
          <w:szCs w:val="32"/>
        </w:rPr>
        <w:t>услугодателя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b/>
          <w:bCs/>
          <w:sz w:val="32"/>
          <w:szCs w:val="32"/>
        </w:rPr>
        <w:t>в процессе оказания государственной услуги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1. Перечень структурных подразделений (работников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услугодателя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>, которые участвуют в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4F6DB4">
        <w:rPr>
          <w:rFonts w:ascii="Times New Roman" w:hAnsi="Times New Roman" w:cs="Times New Roman"/>
          <w:sz w:val="32"/>
          <w:szCs w:val="32"/>
        </w:rPr>
        <w:t>процессе оказания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государственной услуги: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технический секретарь приемной комиссии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услугодателя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>.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2. Описание последовательности процедур (действий) между структурными подразделениями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(работниками) с указанием длительности каждой процедуры (действия) сопровождается таблицей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согласно приложению 1 и блок-схемой согласно приложению 2 к настоящему регламенту.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3. Подробное описание последовательности процедур (действий), взаимодействий структурных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 xml:space="preserve">подразделений (работников)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услугодателя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в процессе оказания государственной услуги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отражается 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справочнике бизнес-процессов оказания государственной услуги согласно приложению 3 к настоящему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>регламенту.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F6DB4">
        <w:rPr>
          <w:rFonts w:ascii="Times New Roman" w:hAnsi="Times New Roman" w:cs="Times New Roman"/>
          <w:b/>
          <w:bCs/>
          <w:sz w:val="32"/>
          <w:szCs w:val="32"/>
        </w:rPr>
        <w:t xml:space="preserve"> 4. Описание порядка взаимодействия с центром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b/>
          <w:bCs/>
          <w:sz w:val="32"/>
          <w:szCs w:val="32"/>
        </w:rPr>
        <w:t>обслуживания населения, а также порядка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b/>
          <w:bCs/>
          <w:sz w:val="32"/>
          <w:szCs w:val="32"/>
        </w:rPr>
        <w:t>использования информационных систем в процессе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b/>
          <w:bCs/>
          <w:sz w:val="32"/>
          <w:szCs w:val="32"/>
        </w:rPr>
        <w:t>оказания государственной услуги</w:t>
      </w:r>
    </w:p>
    <w:p w:rsidR="004F6DB4" w:rsidRPr="004F6DB4" w:rsidRDefault="004F6DB4" w:rsidP="004F6DB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4F6DB4">
        <w:rPr>
          <w:rFonts w:ascii="Times New Roman" w:hAnsi="Times New Roman" w:cs="Times New Roman"/>
          <w:sz w:val="32"/>
          <w:szCs w:val="32"/>
        </w:rPr>
        <w:t xml:space="preserve">1.Согласно стандарта государственная услуга </w:t>
      </w:r>
      <w:proofErr w:type="gramStart"/>
      <w:r w:rsidRPr="004F6DB4">
        <w:rPr>
          <w:rFonts w:ascii="Times New Roman" w:hAnsi="Times New Roman" w:cs="Times New Roman"/>
          <w:sz w:val="32"/>
          <w:szCs w:val="32"/>
        </w:rPr>
        <w:t>не</w:t>
      </w:r>
      <w:proofErr w:type="gramEnd"/>
      <w:r w:rsidRPr="004F6DB4">
        <w:rPr>
          <w:rFonts w:ascii="Times New Roman" w:hAnsi="Times New Roman" w:cs="Times New Roman"/>
          <w:sz w:val="32"/>
          <w:szCs w:val="32"/>
        </w:rPr>
        <w:t xml:space="preserve"> оказывается через филиал Республиканского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DB4">
        <w:rPr>
          <w:rFonts w:ascii="Times New Roman" w:hAnsi="Times New Roman" w:cs="Times New Roman"/>
          <w:sz w:val="32"/>
          <w:szCs w:val="32"/>
        </w:rPr>
        <w:t>государственного предприятия на праве хозяйственного ведения "Центр обслуживания населения" 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F6DB4">
        <w:rPr>
          <w:rFonts w:ascii="Times New Roman" w:hAnsi="Times New Roman" w:cs="Times New Roman"/>
          <w:sz w:val="32"/>
          <w:szCs w:val="32"/>
        </w:rPr>
        <w:t>веб-портал</w:t>
      </w:r>
      <w:proofErr w:type="spellEnd"/>
      <w:r w:rsidRPr="004F6DB4">
        <w:rPr>
          <w:rFonts w:ascii="Times New Roman" w:hAnsi="Times New Roman" w:cs="Times New Roman"/>
          <w:sz w:val="32"/>
          <w:szCs w:val="32"/>
        </w:rPr>
        <w:t xml:space="preserve"> "электронного правительства".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A111CE" w:rsidRDefault="00A111CE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>Приложение 1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к регламенту государственной услуги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"Прием документов в организации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технического и профессионального,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sz w:val="20"/>
          <w:szCs w:val="20"/>
        </w:rPr>
        <w:t>послесреднего</w:t>
      </w:r>
      <w:proofErr w:type="spellEnd"/>
      <w:r>
        <w:rPr>
          <w:rFonts w:ascii="Consolas" w:hAnsi="Consolas" w:cs="Consolas"/>
          <w:sz w:val="20"/>
          <w:szCs w:val="20"/>
        </w:rPr>
        <w:t xml:space="preserve"> образования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-Bold" w:hAnsi="Consolas-Bold" w:cs="Consolas-Bold"/>
          <w:b/>
          <w:bCs/>
        </w:rPr>
      </w:pPr>
      <w:r>
        <w:rPr>
          <w:rFonts w:ascii="Consolas-Bold" w:hAnsi="Consolas-Bold" w:cs="Consolas-Bold"/>
          <w:b/>
          <w:bCs/>
        </w:rPr>
        <w:t>Таблица описание порядка взаимодействия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-Bold" w:hAnsi="Consolas-Bold" w:cs="Consolas-Bold"/>
          <w:b/>
          <w:bCs/>
        </w:rPr>
      </w:pPr>
      <w:r>
        <w:rPr>
          <w:rFonts w:ascii="Consolas-Bold" w:hAnsi="Consolas-Bold" w:cs="Consolas-Bold"/>
          <w:b/>
          <w:bCs/>
        </w:rPr>
        <w:t>структурных подразделений (работников)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-Bold" w:hAnsi="Consolas-Bold" w:cs="Consolas-Bold"/>
          <w:b/>
          <w:bCs/>
        </w:rPr>
      </w:pPr>
      <w:r>
        <w:rPr>
          <w:rFonts w:ascii="Consolas-Bold" w:hAnsi="Consolas-Bold" w:cs="Consolas-Bold"/>
          <w:b/>
          <w:bCs/>
        </w:rPr>
        <w:t>государственной услуги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Действия основного процесса (хода, потока работ)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1. № действия (хода, потока, работ) 1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2. Структурные подразделения (работники)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Технический секретарь приемной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комиссии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3.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Наименование действия (процесса, процедуры</w:t>
      </w:r>
      <w:proofErr w:type="gramEnd"/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операции) и их описание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Осуществляет прием и регистрацию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документов</w:t>
      </w:r>
    </w:p>
    <w:p w:rsidR="004F6DB4" w:rsidRDefault="004F6DB4" w:rsidP="004F6DB4">
      <w:pPr>
        <w:autoSpaceDE w:val="0"/>
        <w:autoSpaceDN w:val="0"/>
        <w:adjustRightInd w:val="0"/>
        <w:spacing w:before="0" w:after="0" w:line="240" w:lineRule="auto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4. Форма завершения Выдача результата </w:t>
      </w:r>
      <w:proofErr w:type="spellStart"/>
      <w:r>
        <w:rPr>
          <w:rFonts w:ascii="Consolas" w:hAnsi="Consolas" w:cs="Consolas"/>
          <w:sz w:val="20"/>
          <w:szCs w:val="20"/>
        </w:rPr>
        <w:t>услугополучателю</w:t>
      </w:r>
      <w:proofErr w:type="spellEnd"/>
    </w:p>
    <w:p w:rsidR="004F6DB4" w:rsidRDefault="004F6DB4" w:rsidP="004F6DB4">
      <w:pPr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5. Сроки исполнения</w:t>
      </w:r>
      <w:proofErr w:type="gramStart"/>
      <w:r>
        <w:rPr>
          <w:rFonts w:ascii="Consolas" w:hAnsi="Consolas" w:cs="Consolas"/>
          <w:sz w:val="20"/>
          <w:szCs w:val="20"/>
        </w:rPr>
        <w:t xml:space="preserve"> Н</w:t>
      </w:r>
      <w:proofErr w:type="gramEnd"/>
      <w:r>
        <w:rPr>
          <w:rFonts w:ascii="Consolas" w:hAnsi="Consolas" w:cs="Consolas"/>
          <w:sz w:val="20"/>
          <w:szCs w:val="20"/>
        </w:rPr>
        <w:t>е более 15 минут</w:t>
      </w: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</w:rPr>
      </w:pPr>
    </w:p>
    <w:p w:rsidR="004051E2" w:rsidRDefault="004051E2" w:rsidP="004F6DB4">
      <w:pPr>
        <w:rPr>
          <w:rFonts w:ascii="Consolas" w:hAnsi="Consolas" w:cs="Consolas"/>
          <w:sz w:val="20"/>
          <w:szCs w:val="20"/>
          <w:lang w:val="kk-KZ"/>
        </w:rPr>
      </w:pPr>
    </w:p>
    <w:p w:rsidR="00952923" w:rsidRPr="00952923" w:rsidRDefault="00952923" w:rsidP="004F6DB4">
      <w:pPr>
        <w:rPr>
          <w:rFonts w:ascii="Consolas" w:hAnsi="Consolas" w:cs="Consolas"/>
          <w:sz w:val="20"/>
          <w:szCs w:val="20"/>
          <w:lang w:val="kk-KZ"/>
        </w:rPr>
      </w:pPr>
    </w:p>
    <w:tbl>
      <w:tblPr>
        <w:tblW w:w="0" w:type="auto"/>
        <w:tblInd w:w="644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20"/>
      </w:tblGrid>
      <w:tr w:rsidR="004051E2" w:rsidRPr="004051E2" w:rsidTr="0095292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4051E2" w:rsidRPr="004051E2" w:rsidRDefault="004051E2" w:rsidP="004051E2">
            <w:pPr>
              <w:spacing w:before="0" w:after="0" w:line="26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51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Павлодар</w:t>
            </w:r>
            <w:r w:rsidR="00952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52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</w:t>
            </w:r>
            <w:proofErr w:type="spellEnd"/>
            <w:r w:rsidR="00952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әкімдігінің</w:t>
            </w:r>
            <w:r w:rsidR="00952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2014 жылғы </w:t>
            </w:r>
            <w:r w:rsidR="00952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="00952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952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  <w:r w:rsidRPr="004051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маусымдағы</w:t>
            </w:r>
            <w:r w:rsidRPr="004051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№ 225/6 қаулысымен</w:t>
            </w:r>
            <w:r w:rsidRPr="004051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4051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бекітілді</w:t>
            </w:r>
            <w:proofErr w:type="spellEnd"/>
          </w:p>
        </w:tc>
      </w:tr>
    </w:tbl>
    <w:p w:rsidR="00952923" w:rsidRDefault="00952923" w:rsidP="00952923">
      <w:pPr>
        <w:shd w:val="clear" w:color="auto" w:fill="FFFFFF"/>
        <w:spacing w:before="0" w:after="0" w:line="43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952923" w:rsidRDefault="00952923" w:rsidP="00952923">
      <w:pPr>
        <w:shd w:val="clear" w:color="auto" w:fill="FFFFFF"/>
        <w:spacing w:before="0" w:after="0" w:line="43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529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4051E2" w:rsidRPr="004051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Техникалық және кәсіптік, орта бiлiмнен кейiнгi білім</w:t>
      </w:r>
      <w:r w:rsidR="004051E2" w:rsidRPr="004051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/>
        <w:t>беру</w:t>
      </w:r>
      <w:r w:rsidRPr="009529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ұйымдарына құжаттарды қабылдау»</w:t>
      </w:r>
      <w:r w:rsidR="004051E2" w:rsidRPr="004051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мемлекеттік</w:t>
      </w:r>
      <w:r w:rsidR="004051E2" w:rsidRPr="004051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/>
        <w:t>көрсетілетін қызмет регламенті</w:t>
      </w:r>
      <w:r w:rsidR="004051E2" w:rsidRPr="004051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/>
      </w:r>
      <w:bookmarkStart w:id="0" w:name="z156"/>
      <w:bookmarkEnd w:id="0"/>
    </w:p>
    <w:p w:rsidR="004051E2" w:rsidRPr="004051E2" w:rsidRDefault="004051E2" w:rsidP="00952923">
      <w:pPr>
        <w:shd w:val="clear" w:color="auto" w:fill="FFFFFF"/>
        <w:spacing w:before="0" w:after="0" w:line="435" w:lineRule="atLeast"/>
        <w:jc w:val="left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1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1.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Жалпы</w:t>
      </w:r>
      <w:proofErr w:type="spellEnd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ережелер</w:t>
      </w:r>
      <w:proofErr w:type="spellEnd"/>
    </w:p>
    <w:p w:rsidR="004051E2" w:rsidRPr="004051E2" w:rsidRDefault="004051E2" w:rsidP="00952923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1" w:name="z157"/>
      <w:bookmarkEnd w:id="1"/>
      <w:r w:rsidR="00952923"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r w:rsidR="00952923"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«</w:t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Техникалық және кәсіптік, орта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бiлiмнен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кейiнгi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беру ұйымдарына құжаттарды қабылдау"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көрсетілетін қызметін (бұдан әрі –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көрсетілетін қызмет) Павлодар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облысы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техникалық және кәсіптік, орта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бiлiмнен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кейiнгi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беру ұйымдары (бұдан әрі – көрсетілетін қызметті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беруші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көрсетеді.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     Өтініштерді қабылдау және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қызметті көрсету нәтижелерін беру техникалық және кәсі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пт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ік, орта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бiлiмнен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кейiнгi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беретін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оқу орнының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базасында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жүзеге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асырылады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2" w:name="z158"/>
      <w:bookmarkEnd w:id="2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қызметті көрсету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нысаны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қағаз тү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інде.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3" w:name="z159"/>
      <w:bookmarkEnd w:id="3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қызметті көрсетудің нәтижесі Қазақстан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Республикасы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Үкіметінің 2014 жылғы 31 мамырдағы № 599</w:t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"http://adilet.zan.kz/kaz/docs/P1400000599" \l "z0" </w:instrTex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қаулысымен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бекітілген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"Техникалық және кәсіптік, орта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бiлiмнен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кейiнгi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беру ұйымдарында құжаттарды қабылдау"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өрсетілетін қызмет стандартының</w:t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" w:anchor="z43" w:history="1">
        <w:r w:rsidRPr="009529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қосымшасына</w:t>
        </w:r>
      </w:hyperlink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сәйкес (бұдан әрі – стандарт)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нысан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бойынша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техникалық және кәсі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пт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ік, орта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бiлiмнен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кейiнгi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ұйымдарына құжаттарды қабылдау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туралы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қолхат.</w:t>
      </w:r>
    </w:p>
    <w:p w:rsidR="004051E2" w:rsidRPr="004051E2" w:rsidRDefault="004051E2" w:rsidP="00952923">
      <w:pPr>
        <w:shd w:val="clear" w:color="auto" w:fill="FFFFFF"/>
        <w:spacing w:before="0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қызмет көрсету ү</w:t>
      </w:r>
      <w:proofErr w:type="gram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</w:t>
      </w:r>
      <w:proofErr w:type="gramEnd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ісінде көрсетілетін</w:t>
      </w:r>
      <w:r w:rsidR="00952923" w:rsidRPr="009529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қызметті берушінің ұрылымдық бөлімшелерінің</w:t>
      </w:r>
      <w:r w:rsidR="00952923" w:rsidRPr="009529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(қызметкерлерінің) іс-қимылдар тәртібін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сипаттау</w:t>
      </w:r>
      <w:proofErr w:type="spellEnd"/>
    </w:p>
    <w:p w:rsidR="004051E2" w:rsidRPr="004051E2" w:rsidRDefault="004051E2" w:rsidP="00952923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4" w:name="z161"/>
      <w:bookmarkEnd w:id="4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Стандарттың</w:t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anchor="z21" w:history="1">
        <w:r w:rsidRPr="009529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9-тармағында</w:t>
        </w:r>
      </w:hyperlink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көрсетілген қажетті құжаттардың қоса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берілуімен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көрсетілетін қызметті алушының өтініші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 көрсету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бойынша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әсімді (әрекетті)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бастау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үшін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негіз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болып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табылады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5" w:name="z162"/>
      <w:bookmarkEnd w:id="5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қызметті көрсету үдерісінің құрамына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кіретін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әрбір 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әсімнің (әрекеті) мазмұны, ұзақтығы мен өту кезеңі: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     көрсетілетін қызметті берушінің қабылдау комиссиясының техникалық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хатшысы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көрсетілетін қызметті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алушыдан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алынған құжаттарды қабылдауды және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тіркеуді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жүргізеді,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қызметті көрсетудің нәтижесін көрсетілетін қызметті 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алушы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ға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береді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(15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минуттан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аспайды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);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6" w:name="z163"/>
      <w:bookmarkEnd w:id="6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қызметті көрсету жөніндегі 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әсімнің (әрекеттің) нәтижесі – стандарттың</w:t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anchor="z43" w:history="1">
        <w:r w:rsidRPr="009529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қосымшасына</w:t>
        </w:r>
      </w:hyperlink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сәйкес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нысан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бойынша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техникалық және кәсіптік, орта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бiлiмнен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кейiнгi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беру ұйымдарына құжаттарды қабылдау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туралы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қолхат.</w:t>
      </w:r>
    </w:p>
    <w:p w:rsidR="004051E2" w:rsidRPr="004051E2" w:rsidRDefault="004051E2" w:rsidP="00952923">
      <w:pPr>
        <w:shd w:val="clear" w:color="auto" w:fill="FFFFFF"/>
        <w:spacing w:before="0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қызмет көрсету ү</w:t>
      </w:r>
      <w:proofErr w:type="gram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</w:t>
      </w:r>
      <w:proofErr w:type="gramEnd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ісінде көрсетілетін</w:t>
      </w:r>
      <w:r w:rsidR="00952923" w:rsidRPr="009529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қызметті берушінің құрылымдық бөлімшелерінің</w:t>
      </w:r>
      <w:r w:rsidR="00952923" w:rsidRPr="009529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(қызметкерлерінің) өзара іс-қимыл тәртібін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сипаттау</w:t>
      </w:r>
      <w:proofErr w:type="spellEnd"/>
    </w:p>
    <w:p w:rsidR="004051E2" w:rsidRPr="004051E2" w:rsidRDefault="004051E2" w:rsidP="00952923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      </w:t>
      </w:r>
      <w:bookmarkStart w:id="7" w:name="z165"/>
      <w:bookmarkEnd w:id="7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 көрсету үдерісіне қатысатын көрсетілетін қызметті берушінің құрылымдық бөлімшелерінің (қызметкерлер)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тізбесі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     көрсетілетін қызметті берушінің қабылдау комиссиясының техникалық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хатшысы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8" w:name="z166"/>
      <w:bookmarkEnd w:id="8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Әрбір 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әсімнің (әрекеттің) ұзақтығын көрсете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отырып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құрылымдық бөлімшелер (қызметкерлер) арасындағы рәсімдер (әрекеттер) ретті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ігінің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сипаттамасы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осы регламенттің</w:t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anchor="z170" w:history="1">
        <w:r w:rsidRPr="009529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1-қосымшасына</w:t>
        </w:r>
      </w:hyperlink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сәйкес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кестемен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және</w:t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anchor="z172" w:history="1">
        <w:r w:rsidRPr="009529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2-қосымшасына</w:t>
        </w:r>
      </w:hyperlink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сәйкес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блок-сызбамен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қоса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беріледі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40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9" w:name="z167"/>
      <w:bookmarkEnd w:id="9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өрсетілетін қызмет үдерісінде көрсетілетін қызметті берушінің құрылымдық бөлімшелерінің (қызметкерлерінің) өзара іс-әрекеттері, рәсімдерінің (әрекеттерінің) реттілігінің толық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сипаттамасы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осы регламенттің</w:t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anchor="z174" w:history="1">
        <w:r w:rsidRPr="009529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3-қосымшасына</w:t>
        </w:r>
      </w:hyperlink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сәйкес </w:t>
      </w:r>
      <w:proofErr w:type="spellStart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қызмет көрсету бизнес-үдерісінің анықтамалығында көрсетіледі.</w:t>
      </w:r>
    </w:p>
    <w:p w:rsidR="004051E2" w:rsidRPr="004051E2" w:rsidRDefault="004051E2" w:rsidP="00952923">
      <w:pPr>
        <w:shd w:val="clear" w:color="auto" w:fill="FFFFFF"/>
        <w:spacing w:before="0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қызмет көрсету ү</w:t>
      </w:r>
      <w:proofErr w:type="gram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</w:t>
      </w:r>
      <w:proofErr w:type="gramEnd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ісінде халыққа қызмет</w:t>
      </w:r>
      <w:r w:rsidR="00952923" w:rsidRPr="009529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көрсету орталығымен өзара іс-қимыл тәртібін, сондай-ақ</w:t>
      </w:r>
      <w:r w:rsidR="00952923" w:rsidRPr="009529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ақпараттық жүйелерді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пайдалану</w:t>
      </w:r>
      <w:proofErr w:type="spellEnd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тәртібін </w:t>
      </w:r>
      <w:proofErr w:type="spellStart"/>
      <w:r w:rsidRPr="00405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сипаттау</w:t>
      </w:r>
      <w:proofErr w:type="spellEnd"/>
    </w:p>
    <w:p w:rsidR="004F6DB4" w:rsidRPr="00952923" w:rsidRDefault="004051E2" w:rsidP="00952923">
      <w:pPr>
        <w:shd w:val="clear" w:color="auto" w:fill="FFFFFF"/>
        <w:spacing w:before="0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</w:t>
      </w:r>
      <w:bookmarkStart w:id="10" w:name="z169"/>
      <w:bookmarkEnd w:id="10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</w:t>
      </w:r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" w:anchor="z6" w:history="1">
        <w:r w:rsidRPr="009529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Стандартқа</w:t>
        </w:r>
      </w:hyperlink>
      <w:r w:rsidRPr="00952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сәйкес </w:t>
      </w:r>
      <w:proofErr w:type="spellStart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өрсетілетін қызмет "Халыққа қызмет көрсету орталығы" шаруашылық жүргізу құқығындағы республикалық </w:t>
      </w:r>
      <w:proofErr w:type="spellStart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мемлекеттік</w:t>
      </w:r>
      <w:proofErr w:type="spellEnd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кәсіпорнының филиалы және "электрондық үкімет" </w:t>
      </w:r>
      <w:proofErr w:type="spellStart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веб-порталы</w:t>
      </w:r>
      <w:proofErr w:type="spellEnd"/>
      <w:r w:rsidRPr="009529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арқылы көрсетілмейді.</w:t>
      </w:r>
    </w:p>
    <w:sectPr w:rsidR="004F6DB4" w:rsidRPr="00952923" w:rsidSect="00A111CE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nsolas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6DB4"/>
    <w:rsid w:val="00107C82"/>
    <w:rsid w:val="00236AC4"/>
    <w:rsid w:val="004051E2"/>
    <w:rsid w:val="004F6DB4"/>
    <w:rsid w:val="00683DC2"/>
    <w:rsid w:val="00952923"/>
    <w:rsid w:val="00A111CE"/>
    <w:rsid w:val="00AF6C88"/>
    <w:rsid w:val="00B75C6F"/>
    <w:rsid w:val="00C362F1"/>
    <w:rsid w:val="00EE3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8C"/>
  </w:style>
  <w:style w:type="paragraph" w:styleId="3">
    <w:name w:val="heading 3"/>
    <w:basedOn w:val="a"/>
    <w:link w:val="30"/>
    <w:uiPriority w:val="9"/>
    <w:qFormat/>
    <w:rsid w:val="004051E2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51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051E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51E2"/>
  </w:style>
  <w:style w:type="character" w:styleId="a4">
    <w:name w:val="Hyperlink"/>
    <w:basedOn w:val="a0"/>
    <w:uiPriority w:val="99"/>
    <w:semiHidden/>
    <w:unhideWhenUsed/>
    <w:rsid w:val="004051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14P000389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V14P000389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P140000059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kaz/docs/P1400000599" TargetMode="External"/><Relationship Id="rId10" Type="http://schemas.openxmlformats.org/officeDocument/2006/relationships/hyperlink" Target="http://adilet.zan.kz/kaz/docs/P1400000599" TargetMode="External"/><Relationship Id="rId4" Type="http://schemas.openxmlformats.org/officeDocument/2006/relationships/hyperlink" Target="http://adilet.zan.kz/kaz/docs/P1400000599" TargetMode="External"/><Relationship Id="rId9" Type="http://schemas.openxmlformats.org/officeDocument/2006/relationships/hyperlink" Target="http://adilet.zan.kz/kaz/docs/V14P00038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ТюмГНГУ</dc:creator>
  <cp:keywords/>
  <dc:description/>
  <cp:lastModifiedBy>SEKRETAR</cp:lastModifiedBy>
  <cp:revision>4</cp:revision>
  <cp:lastPrinted>2015-07-30T05:34:00Z</cp:lastPrinted>
  <dcterms:created xsi:type="dcterms:W3CDTF">2015-11-13T08:07:00Z</dcterms:created>
  <dcterms:modified xsi:type="dcterms:W3CDTF">2015-11-16T05:42:00Z</dcterms:modified>
</cp:coreProperties>
</file>